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Default="00104703" w:rsidP="00104703">
      <w:pPr>
        <w:spacing w:line="480" w:lineRule="auto"/>
        <w:jc w:val="center"/>
        <w:rPr>
          <w:rFonts w:ascii="Times New Roman" w:hAnsi="Times New Roman" w:cs="Times New Roman"/>
          <w:color w:val="1D1D1D"/>
          <w:sz w:val="24"/>
          <w:szCs w:val="24"/>
          <w:shd w:val="clear" w:color="auto" w:fill="FFFFFF"/>
        </w:rPr>
      </w:pPr>
    </w:p>
    <w:p w:rsidR="00104703" w:rsidRDefault="00104703" w:rsidP="00104703">
      <w:pPr>
        <w:spacing w:line="480" w:lineRule="auto"/>
        <w:jc w:val="center"/>
        <w:rPr>
          <w:rFonts w:ascii="Times New Roman" w:hAnsi="Times New Roman" w:cs="Times New Roman"/>
          <w:color w:val="1D1D1D"/>
          <w:sz w:val="24"/>
          <w:szCs w:val="24"/>
          <w:shd w:val="clear" w:color="auto" w:fill="FFFFFF"/>
        </w:rPr>
      </w:pPr>
    </w:p>
    <w:p w:rsidR="00104703" w:rsidRPr="00104703" w:rsidRDefault="00104703" w:rsidP="00104703">
      <w:pPr>
        <w:spacing w:line="480" w:lineRule="auto"/>
        <w:jc w:val="center"/>
        <w:rPr>
          <w:rFonts w:ascii="Times New Roman" w:hAnsi="Times New Roman" w:cs="Times New Roman"/>
          <w:color w:val="1D1D1D"/>
          <w:sz w:val="24"/>
          <w:szCs w:val="24"/>
          <w:shd w:val="clear" w:color="auto" w:fill="FFFFFF"/>
        </w:rPr>
      </w:pPr>
      <w:r w:rsidRPr="00104703">
        <w:rPr>
          <w:rFonts w:ascii="Times New Roman" w:hAnsi="Times New Roman" w:cs="Times New Roman"/>
          <w:color w:val="1D1D1D"/>
          <w:sz w:val="24"/>
          <w:szCs w:val="24"/>
          <w:shd w:val="clear" w:color="auto" w:fill="FFFFFF"/>
        </w:rPr>
        <w:t>MGMT348 Unit.</w:t>
      </w:r>
    </w:p>
    <w:p w:rsidR="00104703" w:rsidRPr="00104703" w:rsidRDefault="00104703" w:rsidP="00104703">
      <w:pPr>
        <w:spacing w:line="480" w:lineRule="auto"/>
        <w:jc w:val="center"/>
        <w:rPr>
          <w:rFonts w:ascii="Times New Roman" w:hAnsi="Times New Roman" w:cs="Times New Roman"/>
          <w:color w:val="1D1D1D"/>
          <w:sz w:val="24"/>
          <w:szCs w:val="24"/>
          <w:shd w:val="clear" w:color="auto" w:fill="FFFFFF"/>
        </w:rPr>
      </w:pPr>
      <w:r w:rsidRPr="00104703">
        <w:rPr>
          <w:rFonts w:ascii="Times New Roman" w:hAnsi="Times New Roman" w:cs="Times New Roman"/>
          <w:color w:val="1D1D1D"/>
          <w:sz w:val="24"/>
          <w:szCs w:val="24"/>
          <w:shd w:val="clear" w:color="auto" w:fill="FFFFFF"/>
        </w:rPr>
        <w:t>Name.</w:t>
      </w:r>
    </w:p>
    <w:p w:rsidR="00104703" w:rsidRPr="00104703" w:rsidRDefault="00104703" w:rsidP="00104703">
      <w:pPr>
        <w:spacing w:line="480" w:lineRule="auto"/>
        <w:jc w:val="center"/>
        <w:rPr>
          <w:rFonts w:ascii="Times New Roman" w:hAnsi="Times New Roman" w:cs="Times New Roman"/>
          <w:color w:val="1D1D1D"/>
          <w:sz w:val="24"/>
          <w:szCs w:val="24"/>
          <w:shd w:val="clear" w:color="auto" w:fill="FFFFFF"/>
        </w:rPr>
      </w:pPr>
      <w:r w:rsidRPr="00104703">
        <w:rPr>
          <w:rFonts w:ascii="Times New Roman" w:hAnsi="Times New Roman" w:cs="Times New Roman"/>
          <w:color w:val="1D1D1D"/>
          <w:sz w:val="24"/>
          <w:szCs w:val="24"/>
          <w:shd w:val="clear" w:color="auto" w:fill="FFFFFF"/>
        </w:rPr>
        <w:t>Institution.</w:t>
      </w:r>
    </w:p>
    <w:p w:rsidR="00104703" w:rsidRPr="00104703" w:rsidRDefault="00104703" w:rsidP="00104703">
      <w:pPr>
        <w:spacing w:line="480" w:lineRule="auto"/>
        <w:jc w:val="center"/>
        <w:rPr>
          <w:rFonts w:ascii="Times New Roman" w:hAnsi="Times New Roman" w:cs="Times New Roman"/>
          <w:color w:val="1D1D1D"/>
          <w:sz w:val="24"/>
          <w:szCs w:val="24"/>
          <w:shd w:val="clear" w:color="auto" w:fill="FFFFFF"/>
        </w:rPr>
      </w:pPr>
      <w:r w:rsidRPr="00104703">
        <w:rPr>
          <w:rFonts w:ascii="Times New Roman" w:hAnsi="Times New Roman" w:cs="Times New Roman"/>
          <w:color w:val="1D1D1D"/>
          <w:sz w:val="24"/>
          <w:szCs w:val="24"/>
          <w:shd w:val="clear" w:color="auto" w:fill="FFFFFF"/>
        </w:rPr>
        <w:t>Date.</w:t>
      </w: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rPr>
          <w:rFonts w:ascii="Times New Roman" w:hAnsi="Times New Roman" w:cs="Times New Roman"/>
          <w:sz w:val="24"/>
          <w:szCs w:val="24"/>
        </w:rPr>
      </w:pPr>
    </w:p>
    <w:p w:rsidR="00104703" w:rsidRPr="00104703" w:rsidRDefault="00104703" w:rsidP="00104703">
      <w:pPr>
        <w:spacing w:line="480" w:lineRule="auto"/>
        <w:jc w:val="center"/>
        <w:rPr>
          <w:rFonts w:ascii="Times New Roman" w:hAnsi="Times New Roman" w:cs="Times New Roman"/>
          <w:b/>
          <w:sz w:val="24"/>
          <w:szCs w:val="24"/>
        </w:rPr>
      </w:pPr>
      <w:r w:rsidRPr="00104703">
        <w:rPr>
          <w:rFonts w:ascii="Times New Roman" w:hAnsi="Times New Roman" w:cs="Times New Roman"/>
          <w:b/>
          <w:sz w:val="24"/>
          <w:szCs w:val="24"/>
        </w:rPr>
        <w:lastRenderedPageBreak/>
        <w:t>Purposes of the Sherman Act.</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The Sherman Act was passed by the U.S Senate under President Benjamin Harrison on the 2nd of July 1890. John Sherman, an American politician (senator) from Ohio State was the initiator and developer of this Act. This act took the shape of the law of competition.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In his time as the Chairman of the Finance Senate Committee, Sherman identified business practices that that constrained the free play of the market. Specifically, he noted that competition was being eliminated. As a result, Sherman’s act was implemented purposely to shield the public from such practices that could eventually turn the market to a monopolistic environment. Instances of monopoly corporations, especially those allowed in such capacities by the government were so common. For instance, there was a forced trade on the trade of tea-Boston Tea Party had dominated the industry (Turner et al., 1962).</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The general purpose of this act was, therefore, target full, which was to reduce issues of the State favored monopoly actors in the market (Turner et al., 1962). The legislation part by the federal government was contained in article 1 of the constitution. There was an integration of the act by the Congress powers which reinforced the issues addressed ending all state versus state business transactions.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Another provision by the act was the prevention of federal government from selecting its favorites among the many business entities in the market. The general objective of the act was to allow for a free and fair play of forces in the market.</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The emergence of superior economies during the industrial revolution to the level of sole dominance led to the implementation of this Act.</w:t>
      </w:r>
    </w:p>
    <w:p w:rsidR="00104703" w:rsidRDefault="00104703" w:rsidP="00104703">
      <w:pPr>
        <w:spacing w:line="480" w:lineRule="auto"/>
        <w:ind w:firstLine="720"/>
        <w:jc w:val="center"/>
        <w:rPr>
          <w:rFonts w:ascii="Times New Roman" w:hAnsi="Times New Roman" w:cs="Times New Roman"/>
          <w:b/>
          <w:sz w:val="24"/>
          <w:szCs w:val="24"/>
        </w:rPr>
      </w:pPr>
    </w:p>
    <w:p w:rsidR="00104703" w:rsidRPr="00104703" w:rsidRDefault="00104703" w:rsidP="00104703">
      <w:pPr>
        <w:spacing w:line="480" w:lineRule="auto"/>
        <w:ind w:firstLine="720"/>
        <w:jc w:val="center"/>
        <w:rPr>
          <w:rFonts w:ascii="Times New Roman" w:hAnsi="Times New Roman" w:cs="Times New Roman"/>
          <w:b/>
          <w:sz w:val="24"/>
          <w:szCs w:val="24"/>
        </w:rPr>
      </w:pPr>
      <w:r w:rsidRPr="00104703">
        <w:rPr>
          <w:rFonts w:ascii="Times New Roman" w:hAnsi="Times New Roman" w:cs="Times New Roman"/>
          <w:b/>
          <w:sz w:val="24"/>
          <w:szCs w:val="24"/>
        </w:rPr>
        <w:lastRenderedPageBreak/>
        <w:t>Clayton Act</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The Clayton Act was passed in the year 1914. It is more of clarification rather than an amendment to the Sherman Act discussed above. In its provisions, it emphasizes on the certain practices that prevent competitiveness in the market (Bok, D. C. 1960).</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Its purpose is to block and impede the happenings of practices such as unfair business practices (state favors, specific dominance), price discriminations and price fixations since they are constraints of competition. The Federal Trade Commission and the United States Department of Justice are the two institutions obligated with the enforcement of these act. These two acts are integrated to improve and strengthen business practices (Bok, D. C. 1960).</w:t>
      </w:r>
    </w:p>
    <w:p w:rsidR="00104703" w:rsidRPr="00104703" w:rsidRDefault="00104703" w:rsidP="00104703">
      <w:pPr>
        <w:spacing w:line="480" w:lineRule="auto"/>
        <w:ind w:firstLine="720"/>
        <w:jc w:val="center"/>
        <w:rPr>
          <w:rFonts w:ascii="Times New Roman" w:hAnsi="Times New Roman" w:cs="Times New Roman"/>
          <w:b/>
          <w:sz w:val="24"/>
          <w:szCs w:val="24"/>
        </w:rPr>
      </w:pPr>
      <w:r w:rsidRPr="00104703">
        <w:rPr>
          <w:rFonts w:ascii="Times New Roman" w:hAnsi="Times New Roman" w:cs="Times New Roman"/>
          <w:b/>
          <w:sz w:val="24"/>
          <w:szCs w:val="24"/>
        </w:rPr>
        <w:t>National Labour Relations Act</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The act is also known as the </w:t>
      </w:r>
      <w:proofErr w:type="spellStart"/>
      <w:r w:rsidRPr="00104703">
        <w:rPr>
          <w:rFonts w:ascii="Times New Roman" w:hAnsi="Times New Roman" w:cs="Times New Roman"/>
          <w:sz w:val="24"/>
          <w:szCs w:val="24"/>
        </w:rPr>
        <w:t>Wanger</w:t>
      </w:r>
      <w:proofErr w:type="spellEnd"/>
      <w:r w:rsidRPr="00104703">
        <w:rPr>
          <w:rFonts w:ascii="Times New Roman" w:hAnsi="Times New Roman" w:cs="Times New Roman"/>
          <w:sz w:val="24"/>
          <w:szCs w:val="24"/>
        </w:rPr>
        <w:t xml:space="preserve"> Act (since Senator Robert </w:t>
      </w:r>
      <w:proofErr w:type="spellStart"/>
      <w:r w:rsidRPr="00104703">
        <w:rPr>
          <w:rFonts w:ascii="Times New Roman" w:hAnsi="Times New Roman" w:cs="Times New Roman"/>
          <w:sz w:val="24"/>
          <w:szCs w:val="24"/>
        </w:rPr>
        <w:t>Wanger</w:t>
      </w:r>
      <w:proofErr w:type="spellEnd"/>
      <w:r w:rsidRPr="00104703">
        <w:rPr>
          <w:rFonts w:ascii="Times New Roman" w:hAnsi="Times New Roman" w:cs="Times New Roman"/>
          <w:sz w:val="24"/>
          <w:szCs w:val="24"/>
        </w:rPr>
        <w:t xml:space="preserve"> coined the initial concept of the act) was enacted by the Congress in 1935.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Because some employers deny their employees certain rights, the act forth was implemented. It exclusively dealt with employer-employee relationship (Sovern, M. I. 1962). Employers restrained their employees from the tendency of collective bargaining which led to strikes and other detailed forms of industrial strife. This poses a challenge to the performances of the economy since every person’s contribution accounts to economic development and growth. The act, therefore, came on board as a policy to address some of these challenges.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The purpose of the NLRA is to provide the workforce or </w:t>
      </w:r>
      <w:r w:rsidR="00AB0C9D" w:rsidRPr="00104703">
        <w:rPr>
          <w:rFonts w:ascii="Times New Roman" w:hAnsi="Times New Roman" w:cs="Times New Roman"/>
          <w:sz w:val="24"/>
          <w:szCs w:val="24"/>
        </w:rPr>
        <w:t>employee’s</w:t>
      </w:r>
      <w:r w:rsidRPr="00104703">
        <w:rPr>
          <w:rFonts w:ascii="Times New Roman" w:hAnsi="Times New Roman" w:cs="Times New Roman"/>
          <w:sz w:val="24"/>
          <w:szCs w:val="24"/>
        </w:rPr>
        <w:t xml:space="preserve"> </w:t>
      </w:r>
      <w:r w:rsidR="004C04CD">
        <w:rPr>
          <w:rFonts w:ascii="Times New Roman" w:hAnsi="Times New Roman" w:cs="Times New Roman"/>
          <w:sz w:val="24"/>
          <w:szCs w:val="24"/>
        </w:rPr>
        <w:t xml:space="preserve">with </w:t>
      </w:r>
      <w:r w:rsidRPr="00104703">
        <w:rPr>
          <w:rFonts w:ascii="Times New Roman" w:hAnsi="Times New Roman" w:cs="Times New Roman"/>
          <w:sz w:val="24"/>
          <w:szCs w:val="24"/>
        </w:rPr>
        <w:t xml:space="preserve">two very critical rights, a) right to join, engage in a formed and or help a labor union and b) the right and free will to take part in any activity that targets a mutual understanding of their protection at their workplaces.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lastRenderedPageBreak/>
        <w:t xml:space="preserve">Other provisions of the act were organization rights of the employees, the allowance to bargain collectively in one voice and the implementation of the overall agency as a control to favor the employees. </w:t>
      </w:r>
    </w:p>
    <w:p w:rsidR="00104703" w:rsidRPr="00104703" w:rsidRDefault="00104703" w:rsidP="00104703">
      <w:pPr>
        <w:spacing w:line="480" w:lineRule="auto"/>
        <w:ind w:firstLine="720"/>
        <w:jc w:val="center"/>
        <w:rPr>
          <w:rFonts w:ascii="Times New Roman" w:hAnsi="Times New Roman" w:cs="Times New Roman"/>
          <w:b/>
          <w:sz w:val="24"/>
          <w:szCs w:val="24"/>
        </w:rPr>
      </w:pPr>
      <w:r w:rsidRPr="00104703">
        <w:rPr>
          <w:rFonts w:ascii="Times New Roman" w:hAnsi="Times New Roman" w:cs="Times New Roman"/>
          <w:b/>
          <w:sz w:val="24"/>
          <w:szCs w:val="24"/>
        </w:rPr>
        <w:t>Taft Hartley Act</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Taft Hartley Act was passed in 1947 after the Second World War by the 80th Congress.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 xml:space="preserve">The purpose of this act was to ease the labor laws legislated in the period between 1933 and ’46. The act was a similar implementation of the laws regarding work that occurred in some southern and western states (Groves et al., 1951). This act was a bit tight in restrictions since it obstructed some laws on strikes, boycotts including other employee favor quests, constrained collective bargaining amongst unions and fueled management with the powers and authorities of obtaining anti-labor proceedings. </w:t>
      </w:r>
    </w:p>
    <w:p w:rsidR="00104703" w:rsidRPr="00104703" w:rsidRDefault="00104703" w:rsidP="00104703">
      <w:pPr>
        <w:spacing w:line="480" w:lineRule="auto"/>
        <w:rPr>
          <w:rFonts w:ascii="Times New Roman" w:hAnsi="Times New Roman" w:cs="Times New Roman"/>
          <w:b/>
          <w:i/>
          <w:sz w:val="24"/>
          <w:szCs w:val="24"/>
        </w:rPr>
      </w:pPr>
      <w:r w:rsidRPr="00104703">
        <w:rPr>
          <w:rFonts w:ascii="Times New Roman" w:hAnsi="Times New Roman" w:cs="Times New Roman"/>
          <w:b/>
          <w:i/>
          <w:sz w:val="24"/>
          <w:szCs w:val="24"/>
        </w:rPr>
        <w:t>Discuss three items that can be included in the negotiation and the laws that are associated with each one.</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Collective bargaining is an act of speaking in one voice from a group’s perspective. In this study, the group represents the workforce or the employees. The need to put issues on one plate that disturb them to get the corrective measures towards them. Many concerns can be negotiated under collective bargaining. These include:</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a)    Compensation packages- this is the major concern that has taken depth in many organizations across the globe. Compensation entails the payment processes of the employees in any organization (</w:t>
      </w:r>
      <w:proofErr w:type="spellStart"/>
      <w:r w:rsidRPr="00104703">
        <w:rPr>
          <w:rFonts w:ascii="Times New Roman" w:hAnsi="Times New Roman" w:cs="Times New Roman"/>
          <w:sz w:val="24"/>
          <w:szCs w:val="24"/>
        </w:rPr>
        <w:t>Kochan</w:t>
      </w:r>
      <w:proofErr w:type="spellEnd"/>
      <w:r w:rsidRPr="00104703">
        <w:rPr>
          <w:rFonts w:ascii="Times New Roman" w:hAnsi="Times New Roman" w:cs="Times New Roman"/>
          <w:sz w:val="24"/>
          <w:szCs w:val="24"/>
        </w:rPr>
        <w:t xml:space="preserve"> et al., 1980). All benefits that are entitled to the employees are included in this package. Negotiations are based on how and specifically when increments in wages and remunerations are to be made by the organization, the kind of benefits that will be </w:t>
      </w:r>
      <w:r w:rsidRPr="00104703">
        <w:rPr>
          <w:rFonts w:ascii="Times New Roman" w:hAnsi="Times New Roman" w:cs="Times New Roman"/>
          <w:sz w:val="24"/>
          <w:szCs w:val="24"/>
        </w:rPr>
        <w:lastRenderedPageBreak/>
        <w:t xml:space="preserve">provided to the workforce, and the cost that both the employees and the union will pay towards the implementation of the latter. </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The law that will need to be effected to solve this issue can include, revision of the remuneration and salaries policy to satisfy the employee services they offer.</w:t>
      </w:r>
    </w:p>
    <w:p w:rsidR="00104703" w:rsidRPr="00104703" w:rsidRDefault="00104703" w:rsidP="00104703">
      <w:pPr>
        <w:spacing w:line="480" w:lineRule="auto"/>
        <w:ind w:firstLine="720"/>
        <w:rPr>
          <w:rFonts w:ascii="Times New Roman" w:hAnsi="Times New Roman" w:cs="Times New Roman"/>
          <w:sz w:val="24"/>
          <w:szCs w:val="24"/>
        </w:rPr>
      </w:pPr>
      <w:proofErr w:type="gramStart"/>
      <w:r w:rsidRPr="00104703">
        <w:rPr>
          <w:rFonts w:ascii="Times New Roman" w:hAnsi="Times New Roman" w:cs="Times New Roman"/>
          <w:sz w:val="24"/>
          <w:szCs w:val="24"/>
        </w:rPr>
        <w:t>b</w:t>
      </w:r>
      <w:proofErr w:type="gramEnd"/>
      <w:r w:rsidRPr="00104703">
        <w:rPr>
          <w:rFonts w:ascii="Times New Roman" w:hAnsi="Times New Roman" w:cs="Times New Roman"/>
          <w:sz w:val="24"/>
          <w:szCs w:val="24"/>
        </w:rPr>
        <w:t>)    Rights of the workers- these include the employee/workforce rights. Collectively, employees engage in unions to table down their rights in the organization they represent. Unions formed under the labor law policy, negotiate or discuss the courses of action to be taken in the events of abuses or hazards while carrying out organizational roles (</w:t>
      </w:r>
      <w:proofErr w:type="spellStart"/>
      <w:r w:rsidRPr="00104703">
        <w:rPr>
          <w:rFonts w:ascii="Times New Roman" w:hAnsi="Times New Roman" w:cs="Times New Roman"/>
          <w:sz w:val="24"/>
          <w:szCs w:val="24"/>
        </w:rPr>
        <w:t>Kochan</w:t>
      </w:r>
      <w:proofErr w:type="spellEnd"/>
      <w:r w:rsidRPr="00104703">
        <w:rPr>
          <w:rFonts w:ascii="Times New Roman" w:hAnsi="Times New Roman" w:cs="Times New Roman"/>
          <w:sz w:val="24"/>
          <w:szCs w:val="24"/>
        </w:rPr>
        <w:t xml:space="preserve"> et al., 1980). Accidents and discriminations of all forms are also addressed under this subtopic. Handling of such complaints after they occur in the area of interest under this negotiation. What will be done if an employer loses life in the event of the company’s operations?</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The laws that can address such issues include the insurance policy taken by the company/institution/organization to insure their employees against such risks which are inevitable.</w:t>
      </w:r>
    </w:p>
    <w:p w:rsidR="00104703"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t>c)    Disagreements on issues- this kind of issues are addressed in situations when the employer cannot reach an agreement concerning an issue with the union of workers (</w:t>
      </w:r>
      <w:proofErr w:type="spellStart"/>
      <w:r w:rsidRPr="00104703">
        <w:rPr>
          <w:rFonts w:ascii="Times New Roman" w:hAnsi="Times New Roman" w:cs="Times New Roman"/>
          <w:sz w:val="24"/>
          <w:szCs w:val="24"/>
        </w:rPr>
        <w:t>Kochan</w:t>
      </w:r>
      <w:proofErr w:type="spellEnd"/>
      <w:r w:rsidRPr="00104703">
        <w:rPr>
          <w:rFonts w:ascii="Times New Roman" w:hAnsi="Times New Roman" w:cs="Times New Roman"/>
          <w:sz w:val="24"/>
          <w:szCs w:val="24"/>
        </w:rPr>
        <w:t xml:space="preserve"> et al., 1980). It is essentially required to arbitrate other than presenting the matter in a court setting. Both parties air out their issues and arbitrator gives to them a concrete resolution that is deemed fair to both. The arbitrator should give the final way forward which both parties are expected to take no-matter-what. </w:t>
      </w:r>
    </w:p>
    <w:p w:rsidR="00104703" w:rsidRPr="00104703" w:rsidRDefault="00104703" w:rsidP="00104703">
      <w:pPr>
        <w:spacing w:line="480" w:lineRule="auto"/>
        <w:ind w:firstLine="720"/>
        <w:rPr>
          <w:rFonts w:ascii="Times New Roman" w:hAnsi="Times New Roman" w:cs="Times New Roman"/>
          <w:sz w:val="24"/>
          <w:szCs w:val="24"/>
        </w:rPr>
      </w:pPr>
    </w:p>
    <w:p w:rsidR="00104703" w:rsidRPr="00104703" w:rsidRDefault="00104703" w:rsidP="00104703">
      <w:pPr>
        <w:spacing w:line="480" w:lineRule="auto"/>
        <w:ind w:firstLine="720"/>
        <w:rPr>
          <w:rFonts w:ascii="Times New Roman" w:hAnsi="Times New Roman" w:cs="Times New Roman"/>
          <w:sz w:val="24"/>
          <w:szCs w:val="24"/>
        </w:rPr>
      </w:pPr>
    </w:p>
    <w:p w:rsidR="000E20F9" w:rsidRPr="00104703" w:rsidRDefault="00104703" w:rsidP="00104703">
      <w:pPr>
        <w:spacing w:line="480" w:lineRule="auto"/>
        <w:ind w:firstLine="720"/>
        <w:rPr>
          <w:rFonts w:ascii="Times New Roman" w:hAnsi="Times New Roman" w:cs="Times New Roman"/>
          <w:sz w:val="24"/>
          <w:szCs w:val="24"/>
        </w:rPr>
      </w:pPr>
      <w:r w:rsidRPr="00104703">
        <w:rPr>
          <w:rFonts w:ascii="Times New Roman" w:hAnsi="Times New Roman" w:cs="Times New Roman"/>
          <w:sz w:val="24"/>
          <w:szCs w:val="24"/>
        </w:rPr>
        <w:lastRenderedPageBreak/>
        <w:t>Industrial relations is the employer-employee and the employer-employee relationship in any firm. People must relate as long as they find themselves in the same setting. Employees are, in most organizations, compromised of their riots and highly manipulated. As a result, a policy- the labor laws-enforced by the International Labor Organization was implemented. It deals with employee issues.</w:t>
      </w: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Default="00104703" w:rsidP="00104703">
      <w:pPr>
        <w:tabs>
          <w:tab w:val="left" w:pos="2400"/>
        </w:tabs>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04703" w:rsidRPr="004C04CD" w:rsidRDefault="00104703" w:rsidP="00104703">
      <w:pPr>
        <w:tabs>
          <w:tab w:val="left" w:pos="2400"/>
        </w:tabs>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4C04CD">
        <w:rPr>
          <w:rFonts w:ascii="Times New Roman" w:hAnsi="Times New Roman" w:cs="Times New Roman"/>
          <w:b/>
          <w:color w:val="222222"/>
          <w:sz w:val="24"/>
          <w:szCs w:val="24"/>
          <w:shd w:val="clear" w:color="auto" w:fill="FFFFFF"/>
        </w:rPr>
        <w:lastRenderedPageBreak/>
        <w:t>References</w:t>
      </w:r>
      <w:bookmarkStart w:id="0" w:name="_GoBack"/>
      <w:bookmarkEnd w:id="0"/>
    </w:p>
    <w:p w:rsidR="00104703" w:rsidRPr="00104703" w:rsidRDefault="00104703" w:rsidP="00104703">
      <w:pPr>
        <w:spacing w:before="100" w:beforeAutospacing="1" w:after="100" w:afterAutospacing="1" w:line="480" w:lineRule="auto"/>
        <w:ind w:left="1008" w:hanging="1008"/>
        <w:jc w:val="center"/>
        <w:rPr>
          <w:rFonts w:ascii="Times New Roman" w:hAnsi="Times New Roman" w:cs="Times New Roman"/>
          <w:color w:val="222222"/>
          <w:sz w:val="24"/>
          <w:szCs w:val="24"/>
          <w:shd w:val="clear" w:color="auto" w:fill="FFFFFF"/>
        </w:rPr>
      </w:pPr>
      <w:r w:rsidRPr="00104703">
        <w:rPr>
          <w:rFonts w:ascii="Times New Roman" w:hAnsi="Times New Roman" w:cs="Times New Roman"/>
          <w:color w:val="222222"/>
          <w:sz w:val="24"/>
          <w:szCs w:val="24"/>
          <w:shd w:val="clear" w:color="auto" w:fill="FFFFFF"/>
        </w:rPr>
        <w:t>Bok, D. C. (1960). Section 7 of the Clayton Act and the Merging of Law and Economics. </w:t>
      </w:r>
      <w:r w:rsidRPr="00104703">
        <w:rPr>
          <w:rFonts w:ascii="Times New Roman" w:hAnsi="Times New Roman" w:cs="Times New Roman"/>
          <w:i/>
          <w:iCs/>
          <w:color w:val="222222"/>
          <w:sz w:val="24"/>
          <w:szCs w:val="24"/>
          <w:shd w:val="clear" w:color="auto" w:fill="FFFFFF"/>
        </w:rPr>
        <w:t>Harvard Law Review</w:t>
      </w:r>
      <w:r w:rsidRPr="00104703">
        <w:rPr>
          <w:rFonts w:ascii="Times New Roman" w:hAnsi="Times New Roman" w:cs="Times New Roman"/>
          <w:color w:val="222222"/>
          <w:sz w:val="24"/>
          <w:szCs w:val="24"/>
          <w:shd w:val="clear" w:color="auto" w:fill="FFFFFF"/>
        </w:rPr>
        <w:t>, 226-355.</w:t>
      </w:r>
    </w:p>
    <w:p w:rsidR="00104703" w:rsidRPr="00104703" w:rsidRDefault="00104703" w:rsidP="00104703">
      <w:pPr>
        <w:spacing w:before="100" w:beforeAutospacing="1" w:after="100" w:afterAutospacing="1" w:line="480" w:lineRule="auto"/>
        <w:ind w:left="1008" w:hanging="1008"/>
        <w:jc w:val="center"/>
        <w:rPr>
          <w:rFonts w:ascii="Times New Roman" w:hAnsi="Times New Roman" w:cs="Times New Roman"/>
          <w:color w:val="222222"/>
          <w:sz w:val="24"/>
          <w:szCs w:val="24"/>
          <w:shd w:val="clear" w:color="auto" w:fill="FFFFFF"/>
        </w:rPr>
      </w:pPr>
      <w:r w:rsidRPr="00104703">
        <w:rPr>
          <w:rFonts w:ascii="Times New Roman" w:hAnsi="Times New Roman" w:cs="Times New Roman"/>
          <w:color w:val="222222"/>
          <w:sz w:val="24"/>
          <w:szCs w:val="24"/>
          <w:shd w:val="clear" w:color="auto" w:fill="FFFFFF"/>
        </w:rPr>
        <w:t>Groves, C. M. (1951). Taft-Hartley Act. </w:t>
      </w:r>
      <w:r w:rsidRPr="00104703">
        <w:rPr>
          <w:rFonts w:ascii="Times New Roman" w:hAnsi="Times New Roman" w:cs="Times New Roman"/>
          <w:i/>
          <w:iCs/>
          <w:color w:val="222222"/>
          <w:sz w:val="24"/>
          <w:szCs w:val="24"/>
          <w:shd w:val="clear" w:color="auto" w:fill="FFFFFF"/>
        </w:rPr>
        <w:t>Women Law. J.</w:t>
      </w:r>
      <w:r w:rsidRPr="00104703">
        <w:rPr>
          <w:rFonts w:ascii="Times New Roman" w:hAnsi="Times New Roman" w:cs="Times New Roman"/>
          <w:color w:val="222222"/>
          <w:sz w:val="24"/>
          <w:szCs w:val="24"/>
          <w:shd w:val="clear" w:color="auto" w:fill="FFFFFF"/>
        </w:rPr>
        <w:t>, </w:t>
      </w:r>
      <w:r w:rsidRPr="00104703">
        <w:rPr>
          <w:rFonts w:ascii="Times New Roman" w:hAnsi="Times New Roman" w:cs="Times New Roman"/>
          <w:i/>
          <w:iCs/>
          <w:color w:val="222222"/>
          <w:sz w:val="24"/>
          <w:szCs w:val="24"/>
          <w:shd w:val="clear" w:color="auto" w:fill="FFFFFF"/>
        </w:rPr>
        <w:t>38</w:t>
      </w:r>
      <w:r w:rsidRPr="00104703">
        <w:rPr>
          <w:rFonts w:ascii="Times New Roman" w:hAnsi="Times New Roman" w:cs="Times New Roman"/>
          <w:color w:val="222222"/>
          <w:sz w:val="24"/>
          <w:szCs w:val="24"/>
          <w:shd w:val="clear" w:color="auto" w:fill="FFFFFF"/>
        </w:rPr>
        <w:t>, 18.</w:t>
      </w:r>
    </w:p>
    <w:p w:rsidR="00104703" w:rsidRPr="00104703" w:rsidRDefault="00104703" w:rsidP="00104703">
      <w:pPr>
        <w:spacing w:before="100" w:beforeAutospacing="1" w:after="100" w:afterAutospacing="1" w:line="480" w:lineRule="auto"/>
        <w:ind w:left="1008" w:hanging="1008"/>
        <w:jc w:val="center"/>
        <w:rPr>
          <w:rFonts w:ascii="Times New Roman" w:hAnsi="Times New Roman" w:cs="Times New Roman"/>
          <w:sz w:val="24"/>
          <w:szCs w:val="24"/>
        </w:rPr>
      </w:pPr>
      <w:proofErr w:type="spellStart"/>
      <w:r w:rsidRPr="00104703">
        <w:rPr>
          <w:rFonts w:ascii="Times New Roman" w:hAnsi="Times New Roman" w:cs="Times New Roman"/>
          <w:color w:val="222222"/>
          <w:sz w:val="24"/>
          <w:szCs w:val="24"/>
          <w:shd w:val="clear" w:color="auto" w:fill="FFFFFF"/>
        </w:rPr>
        <w:t>Kochan</w:t>
      </w:r>
      <w:proofErr w:type="spellEnd"/>
      <w:r w:rsidRPr="00104703">
        <w:rPr>
          <w:rFonts w:ascii="Times New Roman" w:hAnsi="Times New Roman" w:cs="Times New Roman"/>
          <w:color w:val="222222"/>
          <w:sz w:val="24"/>
          <w:szCs w:val="24"/>
          <w:shd w:val="clear" w:color="auto" w:fill="FFFFFF"/>
        </w:rPr>
        <w:t>, T. A. (1980). </w:t>
      </w:r>
      <w:r w:rsidRPr="00104703">
        <w:rPr>
          <w:rFonts w:ascii="Times New Roman" w:hAnsi="Times New Roman" w:cs="Times New Roman"/>
          <w:i/>
          <w:iCs/>
          <w:color w:val="222222"/>
          <w:sz w:val="24"/>
          <w:szCs w:val="24"/>
          <w:shd w:val="clear" w:color="auto" w:fill="FFFFFF"/>
        </w:rPr>
        <w:t>Collective bargaining and industrial relations: From theory to policy and practice</w:t>
      </w:r>
      <w:r w:rsidRPr="00104703">
        <w:rPr>
          <w:rFonts w:ascii="Times New Roman" w:hAnsi="Times New Roman" w:cs="Times New Roman"/>
          <w:color w:val="222222"/>
          <w:sz w:val="24"/>
          <w:szCs w:val="24"/>
          <w:shd w:val="clear" w:color="auto" w:fill="FFFFFF"/>
        </w:rPr>
        <w:t>. RD Irwin.</w:t>
      </w:r>
    </w:p>
    <w:p w:rsidR="00104703" w:rsidRPr="00104703" w:rsidRDefault="00104703" w:rsidP="00104703">
      <w:pPr>
        <w:spacing w:before="100" w:beforeAutospacing="1" w:after="100" w:afterAutospacing="1" w:line="480" w:lineRule="auto"/>
        <w:ind w:left="1008" w:hanging="1008"/>
        <w:jc w:val="center"/>
        <w:rPr>
          <w:rFonts w:ascii="Times New Roman" w:hAnsi="Times New Roman" w:cs="Times New Roman"/>
          <w:color w:val="222222"/>
          <w:sz w:val="24"/>
          <w:szCs w:val="24"/>
          <w:shd w:val="clear" w:color="auto" w:fill="FFFFFF"/>
        </w:rPr>
      </w:pPr>
      <w:r w:rsidRPr="00104703">
        <w:rPr>
          <w:rFonts w:ascii="Times New Roman" w:hAnsi="Times New Roman" w:cs="Times New Roman"/>
          <w:color w:val="222222"/>
          <w:sz w:val="24"/>
          <w:szCs w:val="24"/>
          <w:shd w:val="clear" w:color="auto" w:fill="FFFFFF"/>
        </w:rPr>
        <w:t>Sovern, M. I. (1962). The National Labor Relations Act and Racial Discrimination. </w:t>
      </w:r>
      <w:r w:rsidRPr="00104703">
        <w:rPr>
          <w:rFonts w:ascii="Times New Roman" w:hAnsi="Times New Roman" w:cs="Times New Roman"/>
          <w:i/>
          <w:iCs/>
          <w:color w:val="222222"/>
          <w:sz w:val="24"/>
          <w:szCs w:val="24"/>
          <w:shd w:val="clear" w:color="auto" w:fill="FFFFFF"/>
        </w:rPr>
        <w:t>Columbia Law Review</w:t>
      </w:r>
      <w:r w:rsidRPr="00104703">
        <w:rPr>
          <w:rFonts w:ascii="Times New Roman" w:hAnsi="Times New Roman" w:cs="Times New Roman"/>
          <w:color w:val="222222"/>
          <w:sz w:val="24"/>
          <w:szCs w:val="24"/>
          <w:shd w:val="clear" w:color="auto" w:fill="FFFFFF"/>
        </w:rPr>
        <w:t>, </w:t>
      </w:r>
      <w:r w:rsidRPr="00104703">
        <w:rPr>
          <w:rFonts w:ascii="Times New Roman" w:hAnsi="Times New Roman" w:cs="Times New Roman"/>
          <w:i/>
          <w:iCs/>
          <w:color w:val="222222"/>
          <w:sz w:val="24"/>
          <w:szCs w:val="24"/>
          <w:shd w:val="clear" w:color="auto" w:fill="FFFFFF"/>
        </w:rPr>
        <w:t>62</w:t>
      </w:r>
      <w:r w:rsidRPr="00104703">
        <w:rPr>
          <w:rFonts w:ascii="Times New Roman" w:hAnsi="Times New Roman" w:cs="Times New Roman"/>
          <w:color w:val="222222"/>
          <w:sz w:val="24"/>
          <w:szCs w:val="24"/>
          <w:shd w:val="clear" w:color="auto" w:fill="FFFFFF"/>
        </w:rPr>
        <w:t xml:space="preserve">(4), 563-632. </w:t>
      </w:r>
    </w:p>
    <w:p w:rsidR="00104703" w:rsidRPr="00104703" w:rsidRDefault="00104703" w:rsidP="00104703">
      <w:pPr>
        <w:spacing w:before="100" w:beforeAutospacing="1" w:after="100" w:afterAutospacing="1" w:line="480" w:lineRule="auto"/>
        <w:ind w:left="1008" w:hanging="1008"/>
        <w:jc w:val="center"/>
        <w:rPr>
          <w:rFonts w:ascii="Times New Roman" w:hAnsi="Times New Roman" w:cs="Times New Roman"/>
          <w:color w:val="222222"/>
          <w:sz w:val="24"/>
          <w:szCs w:val="24"/>
          <w:shd w:val="clear" w:color="auto" w:fill="FFFFFF"/>
        </w:rPr>
      </w:pPr>
      <w:r w:rsidRPr="00104703">
        <w:rPr>
          <w:rFonts w:ascii="Times New Roman" w:hAnsi="Times New Roman" w:cs="Times New Roman"/>
          <w:color w:val="222222"/>
          <w:sz w:val="24"/>
          <w:szCs w:val="24"/>
          <w:shd w:val="clear" w:color="auto" w:fill="FFFFFF"/>
        </w:rPr>
        <w:t>Turner, D. F. (1962). The definition of agreement under the Sherman Act: Conscious parallelism and refusals to deal. </w:t>
      </w:r>
      <w:r w:rsidRPr="00104703">
        <w:rPr>
          <w:rFonts w:ascii="Times New Roman" w:hAnsi="Times New Roman" w:cs="Times New Roman"/>
          <w:i/>
          <w:iCs/>
          <w:color w:val="222222"/>
          <w:sz w:val="24"/>
          <w:szCs w:val="24"/>
          <w:shd w:val="clear" w:color="auto" w:fill="FFFFFF"/>
        </w:rPr>
        <w:t>Harvard Law Review</w:t>
      </w:r>
      <w:r w:rsidRPr="00104703">
        <w:rPr>
          <w:rFonts w:ascii="Times New Roman" w:hAnsi="Times New Roman" w:cs="Times New Roman"/>
          <w:color w:val="222222"/>
          <w:sz w:val="24"/>
          <w:szCs w:val="24"/>
          <w:shd w:val="clear" w:color="auto" w:fill="FFFFFF"/>
        </w:rPr>
        <w:t>, 655-706.</w:t>
      </w:r>
    </w:p>
    <w:p w:rsidR="00104703" w:rsidRPr="00104703" w:rsidRDefault="00104703" w:rsidP="00104703">
      <w:pPr>
        <w:spacing w:line="480" w:lineRule="auto"/>
        <w:rPr>
          <w:rFonts w:ascii="Times New Roman" w:hAnsi="Times New Roman" w:cs="Times New Roman"/>
          <w:sz w:val="24"/>
          <w:szCs w:val="24"/>
        </w:rPr>
      </w:pPr>
    </w:p>
    <w:sectPr w:rsidR="00104703" w:rsidRPr="00104703" w:rsidSect="001047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F6C" w:rsidRDefault="00232F6C" w:rsidP="00104703">
      <w:pPr>
        <w:spacing w:after="0" w:line="240" w:lineRule="auto"/>
      </w:pPr>
      <w:r>
        <w:separator/>
      </w:r>
    </w:p>
  </w:endnote>
  <w:endnote w:type="continuationSeparator" w:id="0">
    <w:p w:rsidR="00232F6C" w:rsidRDefault="00232F6C" w:rsidP="00104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F6C" w:rsidRDefault="00232F6C" w:rsidP="00104703">
      <w:pPr>
        <w:spacing w:after="0" w:line="240" w:lineRule="auto"/>
      </w:pPr>
      <w:r>
        <w:separator/>
      </w:r>
    </w:p>
  </w:footnote>
  <w:footnote w:type="continuationSeparator" w:id="0">
    <w:p w:rsidR="00232F6C" w:rsidRDefault="00232F6C" w:rsidP="001047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703" w:rsidRPr="00104703" w:rsidRDefault="00104703">
    <w:pPr>
      <w:pStyle w:val="Header"/>
      <w:rPr>
        <w:rFonts w:ascii="Times New Roman" w:hAnsi="Times New Roman" w:cs="Times New Roman"/>
        <w:sz w:val="24"/>
        <w:szCs w:val="24"/>
      </w:rPr>
    </w:pPr>
    <w:r w:rsidRPr="00104703">
      <w:rPr>
        <w:rFonts w:ascii="Times New Roman" w:hAnsi="Times New Roman" w:cs="Times New Roman"/>
        <w:color w:val="1D1D1D"/>
        <w:sz w:val="24"/>
        <w:szCs w:val="24"/>
        <w:shd w:val="clear" w:color="auto" w:fill="FFFFFF"/>
      </w:rPr>
      <w:t>MGMT348 UNIT.</w:t>
    </w:r>
    <w:r w:rsidRPr="00104703">
      <w:rPr>
        <w:rFonts w:ascii="Times New Roman" w:hAnsi="Times New Roman" w:cs="Times New Roman"/>
        <w:color w:val="1D1D1D"/>
        <w:sz w:val="24"/>
        <w:szCs w:val="24"/>
        <w:shd w:val="clear" w:color="auto" w:fill="FFFFFF"/>
      </w:rPr>
      <w:tab/>
    </w:r>
    <w:r w:rsidRPr="0010470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21511879"/>
        <w:docPartObj>
          <w:docPartGallery w:val="Page Numbers (Top of Page)"/>
          <w:docPartUnique/>
        </w:docPartObj>
      </w:sdtPr>
      <w:sdtEndPr>
        <w:rPr>
          <w:noProof/>
        </w:rPr>
      </w:sdtEndPr>
      <w:sdtContent>
        <w:r w:rsidRPr="00104703">
          <w:rPr>
            <w:rFonts w:ascii="Times New Roman" w:hAnsi="Times New Roman" w:cs="Times New Roman"/>
            <w:sz w:val="24"/>
            <w:szCs w:val="24"/>
          </w:rPr>
          <w:fldChar w:fldCharType="begin"/>
        </w:r>
        <w:r w:rsidRPr="00104703">
          <w:rPr>
            <w:rFonts w:ascii="Times New Roman" w:hAnsi="Times New Roman" w:cs="Times New Roman"/>
            <w:sz w:val="24"/>
            <w:szCs w:val="24"/>
          </w:rPr>
          <w:instrText xml:space="preserve"> PAGE   \* MERGEFORMAT </w:instrText>
        </w:r>
        <w:r w:rsidRPr="00104703">
          <w:rPr>
            <w:rFonts w:ascii="Times New Roman" w:hAnsi="Times New Roman" w:cs="Times New Roman"/>
            <w:sz w:val="24"/>
            <w:szCs w:val="24"/>
          </w:rPr>
          <w:fldChar w:fldCharType="separate"/>
        </w:r>
        <w:r w:rsidR="004C04CD">
          <w:rPr>
            <w:rFonts w:ascii="Times New Roman" w:hAnsi="Times New Roman" w:cs="Times New Roman"/>
            <w:noProof/>
            <w:sz w:val="24"/>
            <w:szCs w:val="24"/>
          </w:rPr>
          <w:t>6</w:t>
        </w:r>
        <w:r w:rsidRPr="00104703">
          <w:rPr>
            <w:rFonts w:ascii="Times New Roman" w:hAnsi="Times New Roman" w:cs="Times New Roman"/>
            <w:noProof/>
            <w:sz w:val="24"/>
            <w:szCs w:val="24"/>
          </w:rPr>
          <w:fldChar w:fldCharType="end"/>
        </w:r>
      </w:sdtContent>
    </w:sdt>
  </w:p>
  <w:p w:rsidR="00104703" w:rsidRPr="00104703" w:rsidRDefault="001047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703" w:rsidRPr="00104703" w:rsidRDefault="00104703" w:rsidP="00104703">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RUNNING HEAD: MGMT348 UNIT.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id w:val="-1129618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0C9D">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03"/>
    <w:rsid w:val="000E20F9"/>
    <w:rsid w:val="00104703"/>
    <w:rsid w:val="00232F6C"/>
    <w:rsid w:val="004C04CD"/>
    <w:rsid w:val="00896382"/>
    <w:rsid w:val="00AB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DF338-BEB0-4BF1-92B1-553DDE43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703"/>
  </w:style>
  <w:style w:type="paragraph" w:styleId="Footer">
    <w:name w:val="footer"/>
    <w:basedOn w:val="Normal"/>
    <w:link w:val="FooterChar"/>
    <w:uiPriority w:val="99"/>
    <w:unhideWhenUsed/>
    <w:rsid w:val="00104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Mulwa</cp:lastModifiedBy>
  <cp:revision>2</cp:revision>
  <dcterms:created xsi:type="dcterms:W3CDTF">2018-01-16T19:25:00Z</dcterms:created>
  <dcterms:modified xsi:type="dcterms:W3CDTF">2018-01-16T19:46:00Z</dcterms:modified>
</cp:coreProperties>
</file>